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8A77" w14:textId="51812A92" w:rsidR="001D4675" w:rsidRDefault="001D4675" w:rsidP="001D4675">
      <w:pPr>
        <w:numPr>
          <w:ilvl w:val="0"/>
          <w:numId w:val="42"/>
        </w:numPr>
        <w:overflowPunct/>
        <w:autoSpaceDE/>
        <w:autoSpaceDN/>
        <w:adjustRightInd/>
        <w:textAlignment w:val="auto"/>
      </w:pPr>
      <w:r>
        <w:t xml:space="preserve">Indien de klager, </w:t>
      </w:r>
      <w:r w:rsidR="00255F46">
        <w:t xml:space="preserve">eventueel </w:t>
      </w:r>
      <w:r>
        <w:t>na overleg met de vertrouwenspersoon, besluit tot een formele klachtenprocedure, moet de klacht schriftelijk worden ingediend bij P&amp;O.</w:t>
      </w:r>
      <w:r>
        <w:br/>
        <w:t>De klacht moet in beginsel binnen 5 weken worden ingediend; bij overschrijding van die termijn beslist de klachtencommissie over de ontvankelijkheid van de klacht.</w:t>
      </w:r>
      <w:r>
        <w:br/>
      </w:r>
    </w:p>
    <w:p w14:paraId="4634DC89" w14:textId="77777777" w:rsidR="001D4675" w:rsidRDefault="001D4675" w:rsidP="001D4675">
      <w:pPr>
        <w:numPr>
          <w:ilvl w:val="0"/>
          <w:numId w:val="42"/>
        </w:numPr>
        <w:overflowPunct/>
        <w:autoSpaceDE/>
        <w:autoSpaceDN/>
        <w:adjustRightInd/>
        <w:textAlignment w:val="auto"/>
      </w:pPr>
      <w:r>
        <w:t xml:space="preserve">P&amp;O stuurt per omgaande een ontvangstbevestiging aan de klager op het </w:t>
      </w:r>
      <w:proofErr w:type="spellStart"/>
      <w:r>
        <w:t>privé-adres</w:t>
      </w:r>
      <w:proofErr w:type="spellEnd"/>
      <w:r>
        <w:t>.</w:t>
      </w:r>
      <w:r>
        <w:br/>
      </w:r>
    </w:p>
    <w:p w14:paraId="74FD3D6C" w14:textId="48E83EF5" w:rsidR="001D4675" w:rsidRDefault="00255F46" w:rsidP="001D4675">
      <w:pPr>
        <w:numPr>
          <w:ilvl w:val="0"/>
          <w:numId w:val="42"/>
        </w:numPr>
        <w:overflowPunct/>
        <w:autoSpaceDE/>
        <w:autoSpaceDN/>
        <w:adjustRightInd/>
        <w:textAlignment w:val="auto"/>
      </w:pPr>
      <w:r>
        <w:t>De</w:t>
      </w:r>
      <w:r w:rsidR="001D4675">
        <w:t xml:space="preserve"> vertrouwenspersoon </w:t>
      </w:r>
      <w:r>
        <w:t xml:space="preserve">onderzoekt eventueel het realiteitsgehalte van de klacht </w:t>
      </w:r>
      <w:r w:rsidR="001D4675">
        <w:t xml:space="preserve">en </w:t>
      </w:r>
      <w:r>
        <w:t xml:space="preserve">initieert met P&amp;O </w:t>
      </w:r>
      <w:r w:rsidR="001D4675">
        <w:t xml:space="preserve"> de </w:t>
      </w:r>
      <w:r>
        <w:t xml:space="preserve">samenkomst van de </w:t>
      </w:r>
      <w:r w:rsidR="001D4675">
        <w:t xml:space="preserve">klachtencommissie. De directie stelt </w:t>
      </w:r>
      <w:r>
        <w:t xml:space="preserve">de </w:t>
      </w:r>
      <w:r w:rsidR="001D4675">
        <w:t xml:space="preserve">klachtencommissie </w:t>
      </w:r>
      <w:r>
        <w:t xml:space="preserve">samen </w:t>
      </w:r>
      <w:r w:rsidR="001D4675">
        <w:t>en benoemt in functie een voorzitter en secretaris.</w:t>
      </w:r>
      <w:r w:rsidR="001D4675">
        <w:br/>
      </w:r>
    </w:p>
    <w:p w14:paraId="322A4747" w14:textId="42145428" w:rsidR="001D4675" w:rsidRDefault="001D4675" w:rsidP="001D4675">
      <w:pPr>
        <w:numPr>
          <w:ilvl w:val="0"/>
          <w:numId w:val="42"/>
        </w:numPr>
        <w:overflowPunct/>
        <w:autoSpaceDE/>
        <w:autoSpaceDN/>
        <w:adjustRightInd/>
        <w:textAlignment w:val="auto"/>
      </w:pPr>
      <w:r>
        <w:t>De klachtencommissie komt, binnen 14 dagen na binnenkomst van de klacht, bijeen en bepaalt of de klacht ontvankelijk wordt verklaard en in behandeling wordt genomen.</w:t>
      </w:r>
      <w:r>
        <w:br/>
      </w:r>
    </w:p>
    <w:p w14:paraId="1AFD5021" w14:textId="77777777" w:rsidR="001D4675" w:rsidRDefault="001D4675" w:rsidP="001D4675">
      <w:pPr>
        <w:numPr>
          <w:ilvl w:val="0"/>
          <w:numId w:val="42"/>
        </w:numPr>
        <w:overflowPunct/>
        <w:autoSpaceDE/>
        <w:autoSpaceDN/>
        <w:adjustRightInd/>
        <w:textAlignment w:val="auto"/>
      </w:pPr>
      <w:r>
        <w:t>Wanneer de klacht niet ontvankelijk of ongegrond wordt verklaard, krijgt de klager hierover schriftelijk en gemotiveerd bericht van de klachtencommissie.</w:t>
      </w:r>
      <w:r>
        <w:br/>
      </w:r>
    </w:p>
    <w:p w14:paraId="02F7B398" w14:textId="77777777" w:rsidR="001D4675" w:rsidRDefault="001D4675" w:rsidP="001D4675">
      <w:pPr>
        <w:numPr>
          <w:ilvl w:val="0"/>
          <w:numId w:val="42"/>
        </w:numPr>
        <w:overflowPunct/>
        <w:autoSpaceDE/>
        <w:autoSpaceDN/>
        <w:adjustRightInd/>
        <w:textAlignment w:val="auto"/>
      </w:pPr>
      <w:r>
        <w:t xml:space="preserve">Wanneer de klacht in behandeling wordt genomen, worden de klager en aangeklaagde hiervan schriftelijk, op hun </w:t>
      </w:r>
      <w:proofErr w:type="spellStart"/>
      <w:r>
        <w:t>privé-adres</w:t>
      </w:r>
      <w:proofErr w:type="spellEnd"/>
      <w:r>
        <w:t xml:space="preserve"> op de hoogte gesteld. </w:t>
      </w:r>
      <w:r>
        <w:br/>
      </w:r>
    </w:p>
    <w:p w14:paraId="73B18B22" w14:textId="77777777" w:rsidR="001D4675" w:rsidRDefault="001D4675" w:rsidP="001D4675">
      <w:pPr>
        <w:numPr>
          <w:ilvl w:val="0"/>
          <w:numId w:val="42"/>
        </w:numPr>
        <w:overflowPunct/>
        <w:autoSpaceDE/>
        <w:autoSpaceDN/>
        <w:adjustRightInd/>
        <w:textAlignment w:val="auto"/>
      </w:pPr>
      <w:r>
        <w:t>Zodra de klacht is bevestigd start het vooronderzoek. De hoorzitting vindt plaats binnen 14 dagen. De klager en de aangeklaagde worden op verschillende tijdstippen uitgenodigd. Samen met de uitnodiging krijgen klager en aangeklaagde de klacht en de te volgen procedure toegezonden.</w:t>
      </w:r>
      <w:r>
        <w:br/>
      </w:r>
    </w:p>
    <w:p w14:paraId="7D338B0A" w14:textId="77777777" w:rsidR="001D4675" w:rsidRDefault="001D4675" w:rsidP="001D4675">
      <w:pPr>
        <w:numPr>
          <w:ilvl w:val="0"/>
          <w:numId w:val="42"/>
        </w:numPr>
        <w:overflowPunct/>
        <w:autoSpaceDE/>
        <w:autoSpaceDN/>
        <w:adjustRightInd/>
        <w:textAlignment w:val="auto"/>
      </w:pPr>
      <w:r>
        <w:t>Tijdens het vooronderzoek worden klager en aangeklaagde gehoord. Daarnaast kunnen getuigen en andere betrokkenen worden gehoord op verzoek van de klager, aangeklaagde of de klachtencommissie.</w:t>
      </w:r>
      <w:r>
        <w:br/>
      </w:r>
    </w:p>
    <w:p w14:paraId="3D6A00EF" w14:textId="77777777" w:rsidR="001D4675" w:rsidRDefault="001D4675" w:rsidP="001D4675">
      <w:pPr>
        <w:numPr>
          <w:ilvl w:val="0"/>
          <w:numId w:val="42"/>
        </w:numPr>
        <w:overflowPunct/>
        <w:autoSpaceDE/>
        <w:autoSpaceDN/>
        <w:adjustRightInd/>
        <w:textAlignment w:val="auto"/>
      </w:pPr>
      <w:r>
        <w:t>Tijdens het vooronderzoek kan de klager zich laten bijstaan door een vertrouwenspersoon. De aangeklaagde kan zich laten bijstaan door een zelf gekozen persoon.</w:t>
      </w:r>
      <w:r>
        <w:br/>
      </w:r>
    </w:p>
    <w:p w14:paraId="26B2A5DF" w14:textId="77777777" w:rsidR="001D4675" w:rsidRDefault="001D4675" w:rsidP="001D4675">
      <w:pPr>
        <w:numPr>
          <w:ilvl w:val="0"/>
          <w:numId w:val="42"/>
        </w:numPr>
        <w:overflowPunct/>
        <w:autoSpaceDE/>
        <w:autoSpaceDN/>
        <w:adjustRightInd/>
        <w:textAlignment w:val="auto"/>
      </w:pPr>
      <w:r>
        <w:t>Van elke hoorzitting wordt een verslag gemaakt, wat aan de gehoorde wordt voorgelegd ter ondertekening. Aan betrokkenen wordt gevraagd het verslag te ondertekenen voor akkoord. Indien betrokkene niet bereid is te tekenen wordt hij/zij in de gelegenheid gesteld schriftelijk commentaar aan het verslag toe te voegen.</w:t>
      </w:r>
      <w:r>
        <w:br/>
      </w:r>
    </w:p>
    <w:p w14:paraId="2E9215B5" w14:textId="77777777" w:rsidR="001D4675" w:rsidRDefault="001D4675" w:rsidP="001D4675">
      <w:pPr>
        <w:numPr>
          <w:ilvl w:val="0"/>
          <w:numId w:val="42"/>
        </w:numPr>
        <w:overflowPunct/>
        <w:autoSpaceDE/>
        <w:autoSpaceDN/>
        <w:adjustRightInd/>
        <w:textAlignment w:val="auto"/>
      </w:pPr>
      <w:r>
        <w:t>Zodra het vooronderzoek is afgerond, worden alle stukken door de secretaris aan de leden van de klachtencommissie toegezonden. De secretaris stelt de klager en aangeklaagde op de hoogte dat het vooronderzoek is afgesloten. Tenzij de commissie dat gewenst acht worden, na sluiting van het vooronderzoek, geen personen meer gehoord. In overleg stelt de secretaris plaats en tijd van de beraadslaging door de commissie vast.</w:t>
      </w:r>
      <w:r>
        <w:br/>
      </w:r>
    </w:p>
    <w:p w14:paraId="35579559" w14:textId="77777777" w:rsidR="001D4675" w:rsidRDefault="001D4675" w:rsidP="001D4675">
      <w:pPr>
        <w:numPr>
          <w:ilvl w:val="0"/>
          <w:numId w:val="42"/>
        </w:numPr>
        <w:overflowPunct/>
        <w:autoSpaceDE/>
        <w:autoSpaceDN/>
        <w:adjustRightInd/>
        <w:textAlignment w:val="auto"/>
      </w:pPr>
      <w:r>
        <w:t>De beraadslaging van de commissie vindt buiten de aanwezigheid van de betrokkenen plaats.</w:t>
      </w:r>
      <w:r>
        <w:br/>
      </w:r>
    </w:p>
    <w:p w14:paraId="7C0953F1" w14:textId="77777777" w:rsidR="001D4675" w:rsidRDefault="001D4675" w:rsidP="001D4675">
      <w:pPr>
        <w:numPr>
          <w:ilvl w:val="0"/>
          <w:numId w:val="42"/>
        </w:numPr>
        <w:overflowPunct/>
        <w:autoSpaceDE/>
        <w:autoSpaceDN/>
        <w:adjustRightInd/>
        <w:textAlignment w:val="auto"/>
      </w:pPr>
      <w:r>
        <w:t>Is de commissie van mening dat haar onvoldoende gegevens ter beschikking staan, om tot een oordeel te komen, dan kan zij het vooronderzoek heropenen. De commissie stelt klager, aangeklaagde en directie hiervan schriftelijk op de hoogte.</w:t>
      </w:r>
      <w:r>
        <w:br/>
      </w:r>
    </w:p>
    <w:p w14:paraId="0CE631E0" w14:textId="77777777" w:rsidR="001D4675" w:rsidRDefault="001D4675" w:rsidP="001D4675">
      <w:pPr>
        <w:numPr>
          <w:ilvl w:val="0"/>
          <w:numId w:val="42"/>
        </w:numPr>
        <w:overflowPunct/>
        <w:autoSpaceDE/>
        <w:autoSpaceDN/>
        <w:adjustRightInd/>
        <w:textAlignment w:val="auto"/>
      </w:pPr>
      <w:r>
        <w:t>Is de commissie van mening dat haar voldoende gegevens ter beschikking staan, dan komt zij tot een oordeel van de klacht. De commissie besluit bij meerderheid van stemmen, de minderheid is gerechtigd haar oordeel aan de uitspraak van de commissie toe te voegen.</w:t>
      </w:r>
      <w:r>
        <w:br/>
      </w:r>
    </w:p>
    <w:p w14:paraId="76141272" w14:textId="77777777" w:rsidR="001D4675" w:rsidRDefault="001D4675" w:rsidP="001D4675">
      <w:pPr>
        <w:numPr>
          <w:ilvl w:val="0"/>
          <w:numId w:val="42"/>
        </w:numPr>
        <w:overflowPunct/>
        <w:autoSpaceDE/>
        <w:autoSpaceDN/>
        <w:adjustRightInd/>
        <w:textAlignment w:val="auto"/>
      </w:pPr>
      <w:r>
        <w:lastRenderedPageBreak/>
        <w:t>De klachtencommissie komt binnen twee maanden, na ontvangst van de klacht tot een oordeel. Deze termijn kan maximaal één maand worden verlengd.</w:t>
      </w:r>
      <w:r>
        <w:br/>
      </w:r>
    </w:p>
    <w:p w14:paraId="7B14A8D4" w14:textId="77777777" w:rsidR="001D4675" w:rsidRDefault="001D4675" w:rsidP="001D4675">
      <w:pPr>
        <w:numPr>
          <w:ilvl w:val="0"/>
          <w:numId w:val="42"/>
        </w:numPr>
        <w:overflowPunct/>
        <w:autoSpaceDE/>
        <w:autoSpaceDN/>
        <w:adjustRightInd/>
        <w:textAlignment w:val="auto"/>
      </w:pPr>
      <w:r>
        <w:t>De commissie komt met een schriftelijke, gemotiveerde rapportage aan de directie, zowel klager als aangeklaagde krijgen een afschrift van dit rapport.</w:t>
      </w:r>
      <w:r>
        <w:br/>
      </w:r>
    </w:p>
    <w:p w14:paraId="629DD250" w14:textId="77777777" w:rsidR="001D4675" w:rsidRDefault="001D4675" w:rsidP="001D4675">
      <w:pPr>
        <w:numPr>
          <w:ilvl w:val="0"/>
          <w:numId w:val="43"/>
        </w:numPr>
        <w:overflowPunct/>
        <w:autoSpaceDE/>
        <w:autoSpaceDN/>
        <w:adjustRightInd/>
        <w:textAlignment w:val="auto"/>
        <w:rPr>
          <w:b/>
        </w:rPr>
      </w:pPr>
      <w:r>
        <w:t>Het rapport bestaat uit een aantal onderdelen:</w:t>
      </w:r>
      <w:r>
        <w:br/>
        <w:t>a.</w:t>
      </w:r>
      <w:r>
        <w:tab/>
        <w:t>Formulering van de klacht.</w:t>
      </w:r>
      <w:r>
        <w:br/>
        <w:t>b.   Motivatie van de commissie over het gegrond, dan wel ongegrond verklaren.</w:t>
      </w:r>
      <w:r>
        <w:br/>
        <w:t>c.</w:t>
      </w:r>
      <w:r>
        <w:tab/>
        <w:t xml:space="preserve">Indien de commissie de klacht gegrond acht geeft zij een gemotiveerd </w:t>
      </w:r>
      <w:r>
        <w:rPr>
          <w:b/>
        </w:rPr>
        <w:t>advies</w:t>
      </w:r>
      <w:r>
        <w:rPr>
          <w:bCs/>
        </w:rPr>
        <w:t>.</w:t>
      </w:r>
      <w:r>
        <w:br/>
      </w:r>
    </w:p>
    <w:p w14:paraId="5B9A264C" w14:textId="77777777" w:rsidR="001D4675" w:rsidRDefault="001D4675" w:rsidP="001D4675">
      <w:r>
        <w:t>Dossiers worden voor een periode van 5 jaar bewaard onder verantwoordelijkheid van P&amp;O; hierna worden de dossiers vernietigd.</w:t>
      </w:r>
      <w:r>
        <w:br/>
      </w:r>
    </w:p>
    <w:p w14:paraId="43BC0647" w14:textId="77777777" w:rsidR="001D4675" w:rsidRDefault="001D4675" w:rsidP="001D4675">
      <w:pPr>
        <w:rPr>
          <w:b/>
        </w:rPr>
      </w:pPr>
      <w:r>
        <w:rPr>
          <w:b/>
          <w:u w:val="single"/>
        </w:rPr>
        <w:t>Oordeel van de klachtencommissie</w:t>
      </w:r>
      <w:r>
        <w:rPr>
          <w:u w:val="single"/>
        </w:rPr>
        <w:br/>
      </w:r>
    </w:p>
    <w:p w14:paraId="1F49B560" w14:textId="77777777" w:rsidR="001D4675" w:rsidRDefault="001D4675" w:rsidP="001D4675">
      <w:pPr>
        <w:numPr>
          <w:ilvl w:val="0"/>
          <w:numId w:val="44"/>
        </w:numPr>
        <w:overflowPunct/>
        <w:autoSpaceDE/>
        <w:autoSpaceDN/>
        <w:adjustRightInd/>
        <w:textAlignment w:val="auto"/>
        <w:rPr>
          <w:b/>
        </w:rPr>
      </w:pPr>
      <w:r>
        <w:t>De commissie verklaart de klacht in het oordeel</w:t>
      </w:r>
      <w:r>
        <w:br/>
        <w:t>a.</w:t>
      </w:r>
      <w:r>
        <w:tab/>
        <w:t>niet ontvankelijk, dan wel</w:t>
      </w:r>
      <w:r>
        <w:br/>
        <w:t>b.</w:t>
      </w:r>
      <w:r>
        <w:tab/>
        <w:t>ongegrond, dan wel</w:t>
      </w:r>
      <w:r>
        <w:br/>
        <w:t xml:space="preserve">c. </w:t>
      </w:r>
      <w:r>
        <w:tab/>
        <w:t>gegrond</w:t>
      </w:r>
      <w:r>
        <w:br/>
      </w:r>
    </w:p>
    <w:p w14:paraId="69BFE6B5" w14:textId="77777777" w:rsidR="001D4675" w:rsidRDefault="001D4675" w:rsidP="001D4675">
      <w:pPr>
        <w:numPr>
          <w:ilvl w:val="0"/>
          <w:numId w:val="44"/>
        </w:numPr>
        <w:overflowPunct/>
        <w:autoSpaceDE/>
        <w:autoSpaceDN/>
        <w:adjustRightInd/>
        <w:textAlignment w:val="auto"/>
        <w:rPr>
          <w:b/>
        </w:rPr>
      </w:pPr>
      <w:r>
        <w:t>Het oordeel houdt de gronden in waarop het berust.</w:t>
      </w:r>
      <w:r>
        <w:br/>
      </w:r>
    </w:p>
    <w:p w14:paraId="0202AEDC" w14:textId="77777777" w:rsidR="001D4675" w:rsidRDefault="001D4675" w:rsidP="001D4675">
      <w:pPr>
        <w:numPr>
          <w:ilvl w:val="0"/>
          <w:numId w:val="44"/>
        </w:numPr>
        <w:overflowPunct/>
        <w:autoSpaceDE/>
        <w:autoSpaceDN/>
        <w:adjustRightInd/>
        <w:textAlignment w:val="auto"/>
        <w:rPr>
          <w:b/>
        </w:rPr>
      </w:pPr>
      <w:r>
        <w:t>Indien de commissie de klacht niet ontvankelijk dan wel ongegrond acht, brengt zij haar oordeel uitsluitend ter kennis van de klager en de aangeklaagde.</w:t>
      </w:r>
      <w:r>
        <w:br/>
      </w:r>
    </w:p>
    <w:p w14:paraId="3BFAE020" w14:textId="77777777" w:rsidR="001D4675" w:rsidRDefault="001D4675" w:rsidP="001D4675">
      <w:pPr>
        <w:numPr>
          <w:ilvl w:val="0"/>
          <w:numId w:val="44"/>
        </w:numPr>
        <w:overflowPunct/>
        <w:autoSpaceDE/>
        <w:autoSpaceDN/>
        <w:adjustRightInd/>
        <w:textAlignment w:val="auto"/>
        <w:rPr>
          <w:b/>
        </w:rPr>
      </w:pPr>
      <w:r>
        <w:t>Indien de commissie de klacht gegrond acht, kunnen o.a. de navolgende sancties worden voorgesteld:</w:t>
      </w:r>
      <w:r>
        <w:br/>
        <w:t>- berisping</w:t>
      </w:r>
      <w:r>
        <w:br/>
        <w:t>- schorsing</w:t>
      </w:r>
      <w:r>
        <w:br/>
        <w:t>- overplaatsing</w:t>
      </w:r>
      <w:r>
        <w:br/>
        <w:t>- ontslag</w:t>
      </w:r>
      <w:r>
        <w:br/>
      </w:r>
    </w:p>
    <w:p w14:paraId="2274F9EE" w14:textId="77777777" w:rsidR="001D4675" w:rsidRDefault="001D4675" w:rsidP="001D4675">
      <w:pPr>
        <w:numPr>
          <w:ilvl w:val="0"/>
          <w:numId w:val="44"/>
        </w:numPr>
        <w:overflowPunct/>
        <w:autoSpaceDE/>
        <w:autoSpaceDN/>
        <w:adjustRightInd/>
        <w:textAlignment w:val="auto"/>
        <w:rPr>
          <w:b/>
        </w:rPr>
      </w:pPr>
      <w:r>
        <w:t>De commissie brengt in deze gevallen haar oordeel ter kennis van de klager, aangeklaagde en de directie.</w:t>
      </w:r>
      <w:r>
        <w:br/>
      </w:r>
    </w:p>
    <w:p w14:paraId="7CA4E2D1" w14:textId="77777777" w:rsidR="001D4675" w:rsidRDefault="001D4675" w:rsidP="001D4675">
      <w:pPr>
        <w:numPr>
          <w:ilvl w:val="0"/>
          <w:numId w:val="45"/>
        </w:numPr>
        <w:overflowPunct/>
        <w:autoSpaceDE/>
        <w:autoSpaceDN/>
        <w:adjustRightInd/>
        <w:textAlignment w:val="auto"/>
        <w:rPr>
          <w:b/>
          <w:u w:val="single"/>
        </w:rPr>
      </w:pPr>
      <w:r>
        <w:t>De directie is gehouden binnen 30 dagen na het ontvangst van het advies van de commissie, zowel de klager als aangeklaagde alsmede de commissie, in kennis te stellen van de eventueel  te nemen maatregelen, die na ontvangst van het rapport worden genomen.</w:t>
      </w:r>
      <w:r>
        <w:br/>
      </w:r>
    </w:p>
    <w:p w14:paraId="5C9E7771" w14:textId="77777777" w:rsidR="001D4675" w:rsidRDefault="001D4675" w:rsidP="001D4675">
      <w:pPr>
        <w:numPr>
          <w:ilvl w:val="0"/>
          <w:numId w:val="45"/>
        </w:numPr>
        <w:overflowPunct/>
        <w:autoSpaceDE/>
        <w:autoSpaceDN/>
        <w:adjustRightInd/>
        <w:textAlignment w:val="auto"/>
        <w:rPr>
          <w:b/>
          <w:u w:val="single"/>
        </w:rPr>
      </w:pPr>
      <w:r>
        <w:t>De directie kan slechts op grond van zwaarwegende argumenten afwijken van dit advies. Indien van dit advies wordt afgeweken doet de directie hierover schriftelijk mededeling aan klager en aan de commissie.</w:t>
      </w:r>
      <w:r>
        <w:br/>
      </w:r>
      <w:r>
        <w:br/>
        <w:t xml:space="preserve"> </w:t>
      </w:r>
      <w:r>
        <w:br/>
      </w:r>
      <w:r>
        <w:rPr>
          <w:b/>
          <w:u w:val="single"/>
        </w:rPr>
        <w:t>Slotbepaling</w:t>
      </w:r>
      <w:r>
        <w:rPr>
          <w:b/>
          <w:u w:val="single"/>
        </w:rPr>
        <w:br/>
      </w:r>
      <w:r>
        <w:rPr>
          <w:b/>
          <w:u w:val="single"/>
        </w:rPr>
        <w:br/>
      </w:r>
      <w:r>
        <w:t>Indien er zich omstandigheden voordoen, waarin dit reglement niet voorziet, dan beslist de directie op grond van een advies van de klachtencommissie.</w:t>
      </w:r>
    </w:p>
    <w:p w14:paraId="46590C48" w14:textId="77777777" w:rsidR="001D4675" w:rsidRDefault="001D4675" w:rsidP="001D4675"/>
    <w:p w14:paraId="61390504" w14:textId="77777777" w:rsidR="00B70EEA" w:rsidRPr="001D4675" w:rsidRDefault="00B70EEA" w:rsidP="001D4675"/>
    <w:sectPr w:rsidR="00B70EEA" w:rsidRPr="001D4675" w:rsidSect="004A3C2A">
      <w:headerReference w:type="default" r:id="rId7"/>
      <w:footerReference w:type="default" r:id="rId8"/>
      <w:pgSz w:w="11906" w:h="16838"/>
      <w:pgMar w:top="1535" w:right="1416" w:bottom="993"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2EB1" w14:textId="77777777" w:rsidR="004A3C2A" w:rsidRDefault="004A3C2A">
      <w:r>
        <w:separator/>
      </w:r>
    </w:p>
  </w:endnote>
  <w:endnote w:type="continuationSeparator" w:id="0">
    <w:p w14:paraId="34A1B44A" w14:textId="77777777" w:rsidR="004A3C2A" w:rsidRDefault="004A3C2A">
      <w:r>
        <w:continuationSeparator/>
      </w:r>
    </w:p>
  </w:endnote>
  <w:endnote w:type="continuationNotice" w:id="1">
    <w:p w14:paraId="017A6D34" w14:textId="77777777" w:rsidR="004A3C2A" w:rsidRDefault="004A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B856" w14:textId="2D870DA1" w:rsidR="00D655AC" w:rsidRPr="00284AC1" w:rsidRDefault="00D655AC" w:rsidP="00471CDF">
    <w:pPr>
      <w:pStyle w:val="Voettekst"/>
      <w:pBdr>
        <w:top w:val="single" w:sz="4" w:space="1" w:color="auto"/>
      </w:pBdr>
      <w:tabs>
        <w:tab w:val="clear" w:pos="9072"/>
        <w:tab w:val="right" w:pos="8789"/>
      </w:tabs>
      <w:rPr>
        <w:sz w:val="16"/>
        <w:szCs w:val="16"/>
      </w:rPr>
    </w:pPr>
    <w:r w:rsidRPr="00284AC1">
      <w:rPr>
        <w:sz w:val="16"/>
        <w:szCs w:val="16"/>
      </w:rPr>
      <w:tab/>
    </w:r>
    <w:r w:rsidRPr="00284AC1">
      <w:rPr>
        <w:rStyle w:val="Paginanummer"/>
        <w:sz w:val="16"/>
        <w:szCs w:val="16"/>
      </w:rPr>
      <w:fldChar w:fldCharType="begin"/>
    </w:r>
    <w:r w:rsidRPr="00284AC1">
      <w:rPr>
        <w:rStyle w:val="Paginanummer"/>
        <w:sz w:val="16"/>
        <w:szCs w:val="16"/>
      </w:rPr>
      <w:instrText xml:space="preserve"> PAGE </w:instrText>
    </w:r>
    <w:r w:rsidRPr="00284AC1">
      <w:rPr>
        <w:rStyle w:val="Paginanummer"/>
        <w:sz w:val="16"/>
        <w:szCs w:val="16"/>
      </w:rPr>
      <w:fldChar w:fldCharType="separate"/>
    </w:r>
    <w:r w:rsidR="00CF2F3F">
      <w:rPr>
        <w:rStyle w:val="Paginanummer"/>
        <w:noProof/>
        <w:sz w:val="16"/>
        <w:szCs w:val="16"/>
      </w:rPr>
      <w:t>2</w:t>
    </w:r>
    <w:r w:rsidRPr="00284AC1">
      <w:rPr>
        <w:rStyle w:val="Paginanummer"/>
        <w:sz w:val="16"/>
        <w:szCs w:val="16"/>
      </w:rPr>
      <w:fldChar w:fldCharType="end"/>
    </w:r>
    <w:r w:rsidRPr="00284AC1">
      <w:rPr>
        <w:rStyle w:val="Paginanummer"/>
        <w:sz w:val="16"/>
        <w:szCs w:val="16"/>
      </w:rPr>
      <w:t>/</w:t>
    </w:r>
    <w:r w:rsidRPr="00284AC1">
      <w:rPr>
        <w:rStyle w:val="Paginanummer"/>
        <w:sz w:val="16"/>
        <w:szCs w:val="16"/>
      </w:rPr>
      <w:fldChar w:fldCharType="begin"/>
    </w:r>
    <w:r w:rsidRPr="00284AC1">
      <w:rPr>
        <w:rStyle w:val="Paginanummer"/>
        <w:sz w:val="16"/>
        <w:szCs w:val="16"/>
      </w:rPr>
      <w:instrText xml:space="preserve"> NUMPAGES </w:instrText>
    </w:r>
    <w:r w:rsidRPr="00284AC1">
      <w:rPr>
        <w:rStyle w:val="Paginanummer"/>
        <w:sz w:val="16"/>
        <w:szCs w:val="16"/>
      </w:rPr>
      <w:fldChar w:fldCharType="separate"/>
    </w:r>
    <w:r w:rsidR="00CF2F3F">
      <w:rPr>
        <w:rStyle w:val="Paginanummer"/>
        <w:noProof/>
        <w:sz w:val="16"/>
        <w:szCs w:val="16"/>
      </w:rPr>
      <w:t>2</w:t>
    </w:r>
    <w:r w:rsidRPr="00284AC1">
      <w:rPr>
        <w:rStyle w:val="Paginanummer"/>
        <w:sz w:val="16"/>
        <w:szCs w:val="16"/>
      </w:rPr>
      <w:fldChar w:fldCharType="end"/>
    </w:r>
    <w:r w:rsidRPr="00284AC1">
      <w:rPr>
        <w:rStyle w:val="Paginanumm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9B85" w14:textId="77777777" w:rsidR="004A3C2A" w:rsidRDefault="004A3C2A">
      <w:r>
        <w:separator/>
      </w:r>
    </w:p>
  </w:footnote>
  <w:footnote w:type="continuationSeparator" w:id="0">
    <w:p w14:paraId="77F81FD2" w14:textId="77777777" w:rsidR="004A3C2A" w:rsidRDefault="004A3C2A">
      <w:r>
        <w:continuationSeparator/>
      </w:r>
    </w:p>
  </w:footnote>
  <w:footnote w:type="continuationNotice" w:id="1">
    <w:p w14:paraId="131E814E" w14:textId="77777777" w:rsidR="004A3C2A" w:rsidRDefault="004A3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400B" w14:textId="702B80D0" w:rsidR="00D655AC" w:rsidRPr="00482581" w:rsidRDefault="00D655AC" w:rsidP="00471CDF">
    <w:pPr>
      <w:pStyle w:val="Koptekst"/>
      <w:pBdr>
        <w:bottom w:val="single" w:sz="4" w:space="1" w:color="auto"/>
      </w:pBdr>
      <w:ind w:right="1700"/>
      <w:rPr>
        <w:b/>
        <w:bCs/>
        <w:sz w:val="24"/>
        <w:szCs w:val="24"/>
      </w:rPr>
    </w:pPr>
    <w:r w:rsidRPr="00482581">
      <w:rPr>
        <w:b/>
        <w:bCs/>
        <w:sz w:val="24"/>
        <w:szCs w:val="24"/>
      </w:rPr>
      <w:t xml:space="preserve">Bijlage </w:t>
    </w:r>
    <w:r w:rsidR="00255F46">
      <w:rPr>
        <w:b/>
        <w:bCs/>
        <w:sz w:val="24"/>
        <w:szCs w:val="24"/>
      </w:rPr>
      <w:t>6</w:t>
    </w:r>
    <w:r w:rsidRPr="00482581">
      <w:rPr>
        <w:b/>
        <w:bCs/>
        <w:sz w:val="24"/>
        <w:szCs w:val="24"/>
      </w:rPr>
      <w:t xml:space="preserve">: </w:t>
    </w:r>
    <w:r w:rsidR="001D4675" w:rsidRPr="00482581">
      <w:rPr>
        <w:b/>
        <w:bCs/>
        <w:sz w:val="24"/>
        <w:szCs w:val="24"/>
      </w:rPr>
      <w:t>K</w:t>
    </w:r>
    <w:r w:rsidRPr="00482581">
      <w:rPr>
        <w:b/>
        <w:bCs/>
        <w:sz w:val="24"/>
        <w:szCs w:val="24"/>
      </w:rPr>
      <w:t>lachtenreglement</w:t>
    </w:r>
    <w:r w:rsidR="001D4675" w:rsidRPr="00482581">
      <w:rPr>
        <w:b/>
        <w:bCs/>
        <w:sz w:val="24"/>
        <w:szCs w:val="24"/>
      </w:rPr>
      <w:t xml:space="preserve"> ongewenst gedrag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3804BA"/>
    <w:lvl w:ilvl="0">
      <w:numFmt w:val="decimal"/>
      <w:lvlText w:val="*"/>
      <w:lvlJc w:val="left"/>
    </w:lvl>
  </w:abstractNum>
  <w:abstractNum w:abstractNumId="1" w15:restartNumberingAfterBreak="0">
    <w:nsid w:val="00C65C89"/>
    <w:multiLevelType w:val="hybridMultilevel"/>
    <w:tmpl w:val="624ECF2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0EB5F2D"/>
    <w:multiLevelType w:val="singleLevel"/>
    <w:tmpl w:val="563A669C"/>
    <w:lvl w:ilvl="0">
      <w:start w:val="1"/>
      <w:numFmt w:val="decimal"/>
      <w:lvlText w:val="%1."/>
      <w:legacy w:legacy="1" w:legacySpace="0" w:legacyIndent="283"/>
      <w:lvlJc w:val="left"/>
      <w:pPr>
        <w:ind w:left="283" w:hanging="283"/>
      </w:pPr>
    </w:lvl>
  </w:abstractNum>
  <w:abstractNum w:abstractNumId="3" w15:restartNumberingAfterBreak="0">
    <w:nsid w:val="010A7DEF"/>
    <w:multiLevelType w:val="hybridMultilevel"/>
    <w:tmpl w:val="FCE0D21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2C91389"/>
    <w:multiLevelType w:val="hybridMultilevel"/>
    <w:tmpl w:val="9D4E3B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64AFA"/>
    <w:multiLevelType w:val="hybridMultilevel"/>
    <w:tmpl w:val="5D52AB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9C56BD"/>
    <w:multiLevelType w:val="hybridMultilevel"/>
    <w:tmpl w:val="A770EBD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EB193D"/>
    <w:multiLevelType w:val="hybridMultilevel"/>
    <w:tmpl w:val="FFA0487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8D223C1"/>
    <w:multiLevelType w:val="hybridMultilevel"/>
    <w:tmpl w:val="98DA6212"/>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3F4A22C">
      <w:numFmt w:val="bullet"/>
      <w:lvlText w:val="–"/>
      <w:lvlJc w:val="left"/>
      <w:pPr>
        <w:tabs>
          <w:tab w:val="num" w:pos="2340"/>
        </w:tabs>
        <w:ind w:left="2340" w:hanging="360"/>
      </w:pPr>
      <w:rPr>
        <w:rFonts w:ascii="Arial" w:eastAsia="Times New Roman" w:hAnsi="Aria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9B761F3"/>
    <w:multiLevelType w:val="hybridMultilevel"/>
    <w:tmpl w:val="00143B6E"/>
    <w:lvl w:ilvl="0" w:tplc="C602F6AE">
      <w:numFmt w:val="bullet"/>
      <w:lvlText w:val="-"/>
      <w:lvlJc w:val="left"/>
      <w:pPr>
        <w:tabs>
          <w:tab w:val="num" w:pos="360"/>
        </w:tabs>
        <w:ind w:left="360" w:hanging="360"/>
      </w:pPr>
      <w:rPr>
        <w:rFonts w:ascii="Arial" w:eastAsia="Times New Roman" w:hAnsi="Aria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A81629"/>
    <w:multiLevelType w:val="singleLevel"/>
    <w:tmpl w:val="D40C8F50"/>
    <w:lvl w:ilvl="0">
      <w:start w:val="1"/>
      <w:numFmt w:val="decimal"/>
      <w:lvlText w:val="%1."/>
      <w:legacy w:legacy="1" w:legacySpace="0" w:legacyIndent="283"/>
      <w:lvlJc w:val="left"/>
      <w:pPr>
        <w:ind w:left="283" w:hanging="283"/>
      </w:pPr>
    </w:lvl>
  </w:abstractNum>
  <w:abstractNum w:abstractNumId="11" w15:restartNumberingAfterBreak="0">
    <w:nsid w:val="150341EA"/>
    <w:multiLevelType w:val="hybridMultilevel"/>
    <w:tmpl w:val="CC86E6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3329B"/>
    <w:multiLevelType w:val="hybridMultilevel"/>
    <w:tmpl w:val="672ED522"/>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CA64C67"/>
    <w:multiLevelType w:val="hybridMultilevel"/>
    <w:tmpl w:val="C75823A2"/>
    <w:lvl w:ilvl="0" w:tplc="0413000F">
      <w:start w:val="1"/>
      <w:numFmt w:val="decimal"/>
      <w:lvlText w:val="%1."/>
      <w:lvlJc w:val="left"/>
      <w:pPr>
        <w:tabs>
          <w:tab w:val="num" w:pos="360"/>
        </w:tabs>
        <w:ind w:left="360" w:hanging="360"/>
      </w:pPr>
      <w:rPr>
        <w:rFonts w:hint="default"/>
      </w:rPr>
    </w:lvl>
    <w:lvl w:ilvl="1" w:tplc="0413000F">
      <w:start w:val="1"/>
      <w:numFmt w:val="decimal"/>
      <w:lvlText w:val="%2."/>
      <w:lvlJc w:val="left"/>
      <w:pPr>
        <w:tabs>
          <w:tab w:val="num" w:pos="360"/>
        </w:tabs>
        <w:ind w:left="36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20A5125B"/>
    <w:multiLevelType w:val="hybridMultilevel"/>
    <w:tmpl w:val="DF4C11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D2047"/>
    <w:multiLevelType w:val="hybridMultilevel"/>
    <w:tmpl w:val="E534C0CE"/>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42B3"/>
    <w:multiLevelType w:val="hybridMultilevel"/>
    <w:tmpl w:val="34D07CC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CE7458"/>
    <w:multiLevelType w:val="hybridMultilevel"/>
    <w:tmpl w:val="3438D73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BDF39B4"/>
    <w:multiLevelType w:val="multilevel"/>
    <w:tmpl w:val="F66C3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C224D2B"/>
    <w:multiLevelType w:val="hybridMultilevel"/>
    <w:tmpl w:val="790AF286"/>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CF456E0"/>
    <w:multiLevelType w:val="hybridMultilevel"/>
    <w:tmpl w:val="38C8BBE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2FB56C87"/>
    <w:multiLevelType w:val="hybridMultilevel"/>
    <w:tmpl w:val="836C24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D51FE2"/>
    <w:multiLevelType w:val="hybridMultilevel"/>
    <w:tmpl w:val="AEFED5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812A2"/>
    <w:multiLevelType w:val="hybridMultilevel"/>
    <w:tmpl w:val="1F4885C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50176B"/>
    <w:multiLevelType w:val="singleLevel"/>
    <w:tmpl w:val="D40C8F50"/>
    <w:lvl w:ilvl="0">
      <w:start w:val="1"/>
      <w:numFmt w:val="decimal"/>
      <w:lvlText w:val="%1."/>
      <w:legacy w:legacy="1" w:legacySpace="0" w:legacyIndent="283"/>
      <w:lvlJc w:val="left"/>
      <w:pPr>
        <w:ind w:left="283" w:hanging="283"/>
      </w:pPr>
      <w:rPr>
        <w:b w:val="0"/>
        <w:i w:val="0"/>
      </w:rPr>
    </w:lvl>
  </w:abstractNum>
  <w:abstractNum w:abstractNumId="25" w15:restartNumberingAfterBreak="0">
    <w:nsid w:val="42504945"/>
    <w:multiLevelType w:val="hybridMultilevel"/>
    <w:tmpl w:val="669E16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50FAA"/>
    <w:multiLevelType w:val="hybridMultilevel"/>
    <w:tmpl w:val="0CFEC6A2"/>
    <w:lvl w:ilvl="0" w:tplc="C602F6AE">
      <w:numFmt w:val="bullet"/>
      <w:lvlText w:val="-"/>
      <w:lvlJc w:val="left"/>
      <w:pPr>
        <w:tabs>
          <w:tab w:val="num" w:pos="720"/>
        </w:tabs>
        <w:ind w:left="720" w:hanging="360"/>
      </w:pPr>
      <w:rPr>
        <w:rFonts w:ascii="Arial" w:eastAsia="Times New Roman" w:hAnsi="Aria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A220D"/>
    <w:multiLevelType w:val="hybridMultilevel"/>
    <w:tmpl w:val="E6C4688A"/>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1881094"/>
    <w:multiLevelType w:val="hybridMultilevel"/>
    <w:tmpl w:val="9338697A"/>
    <w:lvl w:ilvl="0" w:tplc="04130017">
      <w:start w:val="1"/>
      <w:numFmt w:val="lowerLetter"/>
      <w:lvlText w:val="%1)"/>
      <w:lvlJc w:val="left"/>
      <w:pPr>
        <w:tabs>
          <w:tab w:val="num" w:pos="720"/>
        </w:tabs>
        <w:ind w:left="720" w:hanging="360"/>
      </w:pPr>
    </w:lvl>
    <w:lvl w:ilvl="1" w:tplc="04130017">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78D77EB"/>
    <w:multiLevelType w:val="hybridMultilevel"/>
    <w:tmpl w:val="71DEE8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FB4E09"/>
    <w:multiLevelType w:val="hybridMultilevel"/>
    <w:tmpl w:val="DB18AD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E1B"/>
    <w:multiLevelType w:val="hybridMultilevel"/>
    <w:tmpl w:val="D7B600FC"/>
    <w:lvl w:ilvl="0" w:tplc="04130001">
      <w:start w:val="1"/>
      <w:numFmt w:val="bullet"/>
      <w:lvlText w:val=""/>
      <w:lvlJc w:val="left"/>
      <w:pPr>
        <w:tabs>
          <w:tab w:val="num" w:pos="360"/>
        </w:tabs>
        <w:ind w:left="360" w:hanging="360"/>
      </w:pPr>
      <w:rPr>
        <w:rFonts w:ascii="Symbol" w:hAnsi="Symbol" w:hint="default"/>
      </w:rPr>
    </w:lvl>
    <w:lvl w:ilvl="1" w:tplc="C7465FD0">
      <w:numFmt w:val="bullet"/>
      <w:lvlText w:val="-"/>
      <w:lvlJc w:val="left"/>
      <w:pPr>
        <w:tabs>
          <w:tab w:val="num" w:pos="1080"/>
        </w:tabs>
        <w:ind w:left="1080" w:hanging="360"/>
      </w:pPr>
      <w:rPr>
        <w:rFonts w:ascii="Arial" w:eastAsia="Times New Roman" w:hAnsi="Arial" w:cs="Times New Roman"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9F21CE"/>
    <w:multiLevelType w:val="hybridMultilevel"/>
    <w:tmpl w:val="DBEC963C"/>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F3F4A22C">
      <w:numFmt w:val="bullet"/>
      <w:lvlText w:val="–"/>
      <w:lvlJc w:val="left"/>
      <w:pPr>
        <w:tabs>
          <w:tab w:val="num" w:pos="2340"/>
        </w:tabs>
        <w:ind w:left="2340" w:hanging="360"/>
      </w:pPr>
      <w:rPr>
        <w:rFonts w:ascii="Arial" w:eastAsia="Times New Roman" w:hAnsi="Aria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BC96C80"/>
    <w:multiLevelType w:val="hybridMultilevel"/>
    <w:tmpl w:val="6B504F3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60864FEF"/>
    <w:multiLevelType w:val="multilevel"/>
    <w:tmpl w:val="CF962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089373F"/>
    <w:multiLevelType w:val="hybridMultilevel"/>
    <w:tmpl w:val="49B4F2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69651F"/>
    <w:multiLevelType w:val="singleLevel"/>
    <w:tmpl w:val="563A669C"/>
    <w:lvl w:ilvl="0">
      <w:start w:val="1"/>
      <w:numFmt w:val="decimal"/>
      <w:lvlText w:val="%1."/>
      <w:legacy w:legacy="1" w:legacySpace="0" w:legacyIndent="283"/>
      <w:lvlJc w:val="left"/>
      <w:pPr>
        <w:ind w:left="283" w:hanging="283"/>
      </w:pPr>
    </w:lvl>
  </w:abstractNum>
  <w:abstractNum w:abstractNumId="37" w15:restartNumberingAfterBreak="0">
    <w:nsid w:val="73432767"/>
    <w:multiLevelType w:val="hybridMultilevel"/>
    <w:tmpl w:val="8AD23C8E"/>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7636797"/>
    <w:multiLevelType w:val="hybridMultilevel"/>
    <w:tmpl w:val="7D4E8C12"/>
    <w:lvl w:ilvl="0" w:tplc="C602F6AE">
      <w:numFmt w:val="bullet"/>
      <w:lvlText w:val="-"/>
      <w:lvlJc w:val="left"/>
      <w:pPr>
        <w:tabs>
          <w:tab w:val="num" w:pos="360"/>
        </w:tabs>
        <w:ind w:left="360" w:hanging="360"/>
      </w:pPr>
      <w:rPr>
        <w:rFonts w:ascii="Arial" w:eastAsia="Times New Roman" w:hAnsi="Aria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41CD6"/>
    <w:multiLevelType w:val="hybridMultilevel"/>
    <w:tmpl w:val="D938E572"/>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D3355BF"/>
    <w:multiLevelType w:val="hybridMultilevel"/>
    <w:tmpl w:val="1E4ED648"/>
    <w:lvl w:ilvl="0" w:tplc="04130017">
      <w:start w:val="1"/>
      <w:numFmt w:val="lowerLetter"/>
      <w:lvlText w:val="%1)"/>
      <w:lvlJc w:val="left"/>
      <w:pPr>
        <w:tabs>
          <w:tab w:val="num" w:pos="360"/>
        </w:tabs>
        <w:ind w:left="360" w:hanging="360"/>
      </w:pPr>
      <w:rPr>
        <w:rFonts w:hint="default"/>
      </w:rPr>
    </w:lvl>
    <w:lvl w:ilvl="1" w:tplc="04130017">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7DA62D8A"/>
    <w:multiLevelType w:val="hybridMultilevel"/>
    <w:tmpl w:val="7170380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6D7F05"/>
    <w:multiLevelType w:val="hybridMultilevel"/>
    <w:tmpl w:val="6C989DB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39640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54398110">
    <w:abstractNumId w:val="36"/>
  </w:num>
  <w:num w:numId="3" w16cid:durableId="1125656177">
    <w:abstractNumId w:val="2"/>
  </w:num>
  <w:num w:numId="4" w16cid:durableId="1777208738">
    <w:abstractNumId w:val="21"/>
  </w:num>
  <w:num w:numId="5" w16cid:durableId="1083724132">
    <w:abstractNumId w:val="31"/>
  </w:num>
  <w:num w:numId="6" w16cid:durableId="1061176112">
    <w:abstractNumId w:val="11"/>
  </w:num>
  <w:num w:numId="7" w16cid:durableId="1235816127">
    <w:abstractNumId w:val="4"/>
  </w:num>
  <w:num w:numId="8" w16cid:durableId="91166145">
    <w:abstractNumId w:val="29"/>
  </w:num>
  <w:num w:numId="9" w16cid:durableId="203177465">
    <w:abstractNumId w:val="14"/>
  </w:num>
  <w:num w:numId="10" w16cid:durableId="1765687812">
    <w:abstractNumId w:val="26"/>
  </w:num>
  <w:num w:numId="11" w16cid:durableId="1218125719">
    <w:abstractNumId w:val="38"/>
  </w:num>
  <w:num w:numId="12" w16cid:durableId="1595816880">
    <w:abstractNumId w:val="9"/>
  </w:num>
  <w:num w:numId="13" w16cid:durableId="2015450676">
    <w:abstractNumId w:val="35"/>
  </w:num>
  <w:num w:numId="14" w16cid:durableId="1861964250">
    <w:abstractNumId w:val="6"/>
  </w:num>
  <w:num w:numId="15" w16cid:durableId="1682851404">
    <w:abstractNumId w:val="16"/>
  </w:num>
  <w:num w:numId="16" w16cid:durableId="494759155">
    <w:abstractNumId w:val="42"/>
  </w:num>
  <w:num w:numId="17" w16cid:durableId="1697195862">
    <w:abstractNumId w:val="41"/>
  </w:num>
  <w:num w:numId="18" w16cid:durableId="1774125936">
    <w:abstractNumId w:val="28"/>
  </w:num>
  <w:num w:numId="19" w16cid:durableId="318920024">
    <w:abstractNumId w:val="18"/>
  </w:num>
  <w:num w:numId="20" w16cid:durableId="1723289731">
    <w:abstractNumId w:val="34"/>
  </w:num>
  <w:num w:numId="21" w16cid:durableId="524439441">
    <w:abstractNumId w:val="40"/>
  </w:num>
  <w:num w:numId="22" w16cid:durableId="729112355">
    <w:abstractNumId w:val="13"/>
  </w:num>
  <w:num w:numId="23" w16cid:durableId="594020231">
    <w:abstractNumId w:val="12"/>
  </w:num>
  <w:num w:numId="24" w16cid:durableId="818689933">
    <w:abstractNumId w:val="39"/>
  </w:num>
  <w:num w:numId="25" w16cid:durableId="763458269">
    <w:abstractNumId w:val="1"/>
  </w:num>
  <w:num w:numId="26" w16cid:durableId="1893928310">
    <w:abstractNumId w:val="17"/>
  </w:num>
  <w:num w:numId="27" w16cid:durableId="866718016">
    <w:abstractNumId w:val="3"/>
  </w:num>
  <w:num w:numId="28" w16cid:durableId="182667816">
    <w:abstractNumId w:val="37"/>
  </w:num>
  <w:num w:numId="29" w16cid:durableId="1901791624">
    <w:abstractNumId w:val="23"/>
  </w:num>
  <w:num w:numId="30" w16cid:durableId="2105417000">
    <w:abstractNumId w:val="19"/>
  </w:num>
  <w:num w:numId="31" w16cid:durableId="129711011">
    <w:abstractNumId w:val="27"/>
  </w:num>
  <w:num w:numId="32" w16cid:durableId="663053222">
    <w:abstractNumId w:val="7"/>
  </w:num>
  <w:num w:numId="33" w16cid:durableId="1050424792">
    <w:abstractNumId w:val="20"/>
  </w:num>
  <w:num w:numId="34" w16cid:durableId="1567376570">
    <w:abstractNumId w:val="32"/>
  </w:num>
  <w:num w:numId="35" w16cid:durableId="1099178143">
    <w:abstractNumId w:val="8"/>
  </w:num>
  <w:num w:numId="36" w16cid:durableId="1743604904">
    <w:abstractNumId w:val="30"/>
  </w:num>
  <w:num w:numId="37" w16cid:durableId="734819271">
    <w:abstractNumId w:val="33"/>
  </w:num>
  <w:num w:numId="38" w16cid:durableId="400372319">
    <w:abstractNumId w:val="15"/>
  </w:num>
  <w:num w:numId="39" w16cid:durableId="733309997">
    <w:abstractNumId w:val="22"/>
  </w:num>
  <w:num w:numId="40" w16cid:durableId="1357847131">
    <w:abstractNumId w:val="25"/>
  </w:num>
  <w:num w:numId="41" w16cid:durableId="1214849163">
    <w:abstractNumId w:val="5"/>
  </w:num>
  <w:num w:numId="42" w16cid:durableId="1003971049">
    <w:abstractNumId w:val="10"/>
    <w:lvlOverride w:ilvl="0">
      <w:startOverride w:val="1"/>
    </w:lvlOverride>
  </w:num>
  <w:num w:numId="43" w16cid:durableId="1881935129">
    <w:abstractNumId w:val="10"/>
    <w:lvlOverride w:ilvl="0">
      <w:lvl w:ilvl="0">
        <w:start w:val="1"/>
        <w:numFmt w:val="decimal"/>
        <w:lvlText w:val="%1."/>
        <w:legacy w:legacy="1" w:legacySpace="0" w:legacyIndent="283"/>
        <w:lvlJc w:val="left"/>
        <w:pPr>
          <w:ind w:left="283" w:hanging="283"/>
        </w:pPr>
        <w:rPr>
          <w:b w:val="0"/>
          <w:i w:val="0"/>
        </w:rPr>
      </w:lvl>
    </w:lvlOverride>
  </w:num>
  <w:num w:numId="44" w16cid:durableId="1954169365">
    <w:abstractNumId w:val="24"/>
    <w:lvlOverride w:ilvl="0">
      <w:startOverride w:val="1"/>
    </w:lvlOverride>
  </w:num>
  <w:num w:numId="45" w16cid:durableId="178081293">
    <w:abstractNumId w:val="24"/>
    <w:lvlOverride w:ilvl="0">
      <w:lvl w:ilvl="0">
        <w:start w:val="1"/>
        <w:numFmt w:val="decimal"/>
        <w:lvlText w:val="%1."/>
        <w:legacy w:legacy="1" w:legacySpace="0" w:legacyIndent="283"/>
        <w:lvlJc w:val="left"/>
        <w:pPr>
          <w:ind w:left="283" w:hanging="283"/>
        </w:pPr>
        <w:rPr>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41"/>
    <w:rsid w:val="0008097D"/>
    <w:rsid w:val="000925DC"/>
    <w:rsid w:val="000A1BB4"/>
    <w:rsid w:val="000B5227"/>
    <w:rsid w:val="000E5250"/>
    <w:rsid w:val="00126AC8"/>
    <w:rsid w:val="0013676B"/>
    <w:rsid w:val="00155647"/>
    <w:rsid w:val="00184BD1"/>
    <w:rsid w:val="00184E64"/>
    <w:rsid w:val="001D0BD1"/>
    <w:rsid w:val="001D4675"/>
    <w:rsid w:val="00204641"/>
    <w:rsid w:val="00246B22"/>
    <w:rsid w:val="00255F46"/>
    <w:rsid w:val="00261040"/>
    <w:rsid w:val="00280449"/>
    <w:rsid w:val="00284AC1"/>
    <w:rsid w:val="002B6020"/>
    <w:rsid w:val="002C268B"/>
    <w:rsid w:val="00303C9A"/>
    <w:rsid w:val="003137F6"/>
    <w:rsid w:val="00314A08"/>
    <w:rsid w:val="00317A19"/>
    <w:rsid w:val="00317AA3"/>
    <w:rsid w:val="00361113"/>
    <w:rsid w:val="003C77C1"/>
    <w:rsid w:val="003D2229"/>
    <w:rsid w:val="003D6D8C"/>
    <w:rsid w:val="003E0C55"/>
    <w:rsid w:val="003F6342"/>
    <w:rsid w:val="003F7C1D"/>
    <w:rsid w:val="004334FE"/>
    <w:rsid w:val="00471CDF"/>
    <w:rsid w:val="00481C56"/>
    <w:rsid w:val="00482581"/>
    <w:rsid w:val="004A3C2A"/>
    <w:rsid w:val="004B03D0"/>
    <w:rsid w:val="004D7742"/>
    <w:rsid w:val="004F2E3E"/>
    <w:rsid w:val="005730C8"/>
    <w:rsid w:val="005A4ED8"/>
    <w:rsid w:val="005C5B3D"/>
    <w:rsid w:val="0060379B"/>
    <w:rsid w:val="006205CE"/>
    <w:rsid w:val="00634A68"/>
    <w:rsid w:val="00635F96"/>
    <w:rsid w:val="0067401E"/>
    <w:rsid w:val="00675FE2"/>
    <w:rsid w:val="00690C80"/>
    <w:rsid w:val="006B139A"/>
    <w:rsid w:val="006D51F2"/>
    <w:rsid w:val="007440CE"/>
    <w:rsid w:val="00763B07"/>
    <w:rsid w:val="0076725B"/>
    <w:rsid w:val="00787BB9"/>
    <w:rsid w:val="007A1E60"/>
    <w:rsid w:val="007D1A26"/>
    <w:rsid w:val="007E63A3"/>
    <w:rsid w:val="00804048"/>
    <w:rsid w:val="00820899"/>
    <w:rsid w:val="00832012"/>
    <w:rsid w:val="00860564"/>
    <w:rsid w:val="008669F2"/>
    <w:rsid w:val="00890FE4"/>
    <w:rsid w:val="008D02DA"/>
    <w:rsid w:val="00933550"/>
    <w:rsid w:val="00947743"/>
    <w:rsid w:val="00972306"/>
    <w:rsid w:val="0097465E"/>
    <w:rsid w:val="009860EF"/>
    <w:rsid w:val="009A083B"/>
    <w:rsid w:val="009D1DB0"/>
    <w:rsid w:val="009D1E32"/>
    <w:rsid w:val="009D5E94"/>
    <w:rsid w:val="009E0950"/>
    <w:rsid w:val="00A006A5"/>
    <w:rsid w:val="00A1056D"/>
    <w:rsid w:val="00A144FC"/>
    <w:rsid w:val="00A14BC0"/>
    <w:rsid w:val="00A213C8"/>
    <w:rsid w:val="00A76B46"/>
    <w:rsid w:val="00AD3234"/>
    <w:rsid w:val="00AE3B32"/>
    <w:rsid w:val="00B104C2"/>
    <w:rsid w:val="00B12204"/>
    <w:rsid w:val="00B4526D"/>
    <w:rsid w:val="00B70EEA"/>
    <w:rsid w:val="00B7133B"/>
    <w:rsid w:val="00C0260C"/>
    <w:rsid w:val="00C7097E"/>
    <w:rsid w:val="00C76F63"/>
    <w:rsid w:val="00C97742"/>
    <w:rsid w:val="00CA0F71"/>
    <w:rsid w:val="00CA3C3C"/>
    <w:rsid w:val="00CA41E5"/>
    <w:rsid w:val="00CC4CE9"/>
    <w:rsid w:val="00CE0B75"/>
    <w:rsid w:val="00CE562D"/>
    <w:rsid w:val="00CF2F3F"/>
    <w:rsid w:val="00D109CD"/>
    <w:rsid w:val="00D51C0D"/>
    <w:rsid w:val="00D64F9C"/>
    <w:rsid w:val="00D655AC"/>
    <w:rsid w:val="00D65AC5"/>
    <w:rsid w:val="00DA6CE0"/>
    <w:rsid w:val="00DB58C3"/>
    <w:rsid w:val="00DE50FD"/>
    <w:rsid w:val="00E26412"/>
    <w:rsid w:val="00E36160"/>
    <w:rsid w:val="00EC2297"/>
    <w:rsid w:val="00EE1459"/>
    <w:rsid w:val="00EF5D6D"/>
    <w:rsid w:val="00EF76BE"/>
    <w:rsid w:val="00F02CAD"/>
    <w:rsid w:val="00F14242"/>
    <w:rsid w:val="00F43249"/>
    <w:rsid w:val="00F51ADF"/>
    <w:rsid w:val="00F538F8"/>
    <w:rsid w:val="00F57F31"/>
    <w:rsid w:val="00F60D66"/>
    <w:rsid w:val="00F94C93"/>
    <w:rsid w:val="00FF5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737A4"/>
  <w15:docId w15:val="{53EBC619-8ADB-427C-9A9A-37CDA84D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textAlignment w:val="baseline"/>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669F2"/>
    <w:rPr>
      <w:rFonts w:ascii="Tahoma" w:hAnsi="Tahoma" w:cs="Tahoma"/>
      <w:sz w:val="16"/>
      <w:szCs w:val="16"/>
    </w:rPr>
  </w:style>
  <w:style w:type="paragraph" w:styleId="Macrotekst">
    <w:name w:val="macro"/>
    <w:semiHidden/>
    <w:pPr>
      <w:tabs>
        <w:tab w:val="left" w:pos="426"/>
        <w:tab w:val="left" w:pos="993"/>
        <w:tab w:val="left" w:pos="1418"/>
        <w:tab w:val="left" w:pos="1843"/>
        <w:tab w:val="left" w:pos="2410"/>
        <w:tab w:val="left" w:pos="2835"/>
        <w:tab w:val="left" w:pos="3261"/>
        <w:tab w:val="left" w:pos="3828"/>
        <w:tab w:val="left" w:pos="4253"/>
        <w:tab w:val="left" w:pos="4962"/>
        <w:tab w:val="left" w:pos="5670"/>
        <w:tab w:val="left" w:pos="6379"/>
        <w:tab w:val="left" w:pos="7088"/>
        <w:tab w:val="left" w:pos="7797"/>
        <w:tab w:val="left" w:pos="8505"/>
      </w:tabs>
      <w:overflowPunct w:val="0"/>
      <w:autoSpaceDE w:val="0"/>
      <w:autoSpaceDN w:val="0"/>
      <w:adjustRightInd w:val="0"/>
      <w:ind w:right="-256"/>
      <w:textAlignment w:val="baseline"/>
    </w:pPr>
    <w:rPr>
      <w:rFonts w:ascii="Courier New" w:hAnsi="Courier New"/>
      <w:sz w:val="14"/>
    </w:rPr>
  </w:style>
  <w:style w:type="paragraph" w:styleId="Koptekst">
    <w:name w:val="header"/>
    <w:basedOn w:val="Standaard"/>
    <w:rsid w:val="00284AC1"/>
    <w:pPr>
      <w:tabs>
        <w:tab w:val="center" w:pos="4536"/>
        <w:tab w:val="right" w:pos="9072"/>
      </w:tabs>
    </w:pPr>
  </w:style>
  <w:style w:type="paragraph" w:styleId="Voettekst">
    <w:name w:val="footer"/>
    <w:basedOn w:val="Standaard"/>
    <w:rsid w:val="00284AC1"/>
    <w:pPr>
      <w:tabs>
        <w:tab w:val="center" w:pos="4536"/>
        <w:tab w:val="right" w:pos="9072"/>
      </w:tabs>
    </w:pPr>
  </w:style>
  <w:style w:type="character" w:styleId="Paginanummer">
    <w:name w:val="page number"/>
    <w:basedOn w:val="Standaardalinea-lettertype"/>
    <w:rsid w:val="00284AC1"/>
  </w:style>
  <w:style w:type="paragraph" w:styleId="Voetnoottekst">
    <w:name w:val="footnote text"/>
    <w:basedOn w:val="Standaard"/>
    <w:semiHidden/>
    <w:rsid w:val="00F51ADF"/>
    <w:rPr>
      <w:sz w:val="20"/>
    </w:rPr>
  </w:style>
  <w:style w:type="character" w:styleId="Voetnootmarkering">
    <w:name w:val="footnote reference"/>
    <w:basedOn w:val="Standaardalinea-lettertype"/>
    <w:semiHidden/>
    <w:rsid w:val="00F51ADF"/>
    <w:rPr>
      <w:vertAlign w:val="superscript"/>
    </w:rPr>
  </w:style>
  <w:style w:type="table" w:styleId="Tabelraster">
    <w:name w:val="Table Grid"/>
    <w:basedOn w:val="Standaardtabel"/>
    <w:rsid w:val="00B1220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qFormat/>
    <w:rsid w:val="00933550"/>
    <w:pPr>
      <w:overflowPunct/>
      <w:autoSpaceDE/>
      <w:autoSpaceDN/>
      <w:adjustRightInd/>
      <w:textAlignment w:val="auto"/>
    </w:pPr>
    <w:rPr>
      <w:rFonts w:ascii="Calibri" w:eastAsia="Calibri" w:hAnsi="Calibri"/>
      <w:szCs w:val="22"/>
      <w:lang w:val="en-US" w:eastAsia="en-US" w:bidi="en-US"/>
    </w:rPr>
  </w:style>
  <w:style w:type="character" w:styleId="Verwijzingopmerking">
    <w:name w:val="annotation reference"/>
    <w:basedOn w:val="Standaardalinea-lettertype"/>
    <w:semiHidden/>
    <w:unhideWhenUsed/>
    <w:rsid w:val="00CF2F3F"/>
    <w:rPr>
      <w:sz w:val="16"/>
      <w:szCs w:val="16"/>
    </w:rPr>
  </w:style>
  <w:style w:type="paragraph" w:styleId="Tekstopmerking">
    <w:name w:val="annotation text"/>
    <w:basedOn w:val="Standaard"/>
    <w:link w:val="TekstopmerkingChar"/>
    <w:semiHidden/>
    <w:unhideWhenUsed/>
    <w:rsid w:val="00CF2F3F"/>
    <w:rPr>
      <w:sz w:val="20"/>
    </w:rPr>
  </w:style>
  <w:style w:type="character" w:customStyle="1" w:styleId="TekstopmerkingChar">
    <w:name w:val="Tekst opmerking Char"/>
    <w:basedOn w:val="Standaardalinea-lettertype"/>
    <w:link w:val="Tekstopmerking"/>
    <w:semiHidden/>
    <w:rsid w:val="00CF2F3F"/>
    <w:rPr>
      <w:rFonts w:ascii="Arial" w:hAnsi="Arial"/>
    </w:rPr>
  </w:style>
  <w:style w:type="paragraph" w:styleId="Onderwerpvanopmerking">
    <w:name w:val="annotation subject"/>
    <w:basedOn w:val="Tekstopmerking"/>
    <w:next w:val="Tekstopmerking"/>
    <w:link w:val="OnderwerpvanopmerkingChar"/>
    <w:semiHidden/>
    <w:unhideWhenUsed/>
    <w:rsid w:val="00CF2F3F"/>
    <w:rPr>
      <w:b/>
      <w:bCs/>
    </w:rPr>
  </w:style>
  <w:style w:type="character" w:customStyle="1" w:styleId="OnderwerpvanopmerkingChar">
    <w:name w:val="Onderwerp van opmerking Char"/>
    <w:basedOn w:val="TekstopmerkingChar"/>
    <w:link w:val="Onderwerpvanopmerking"/>
    <w:semiHidden/>
    <w:rsid w:val="00CF2F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27907">
      <w:bodyDiv w:val="1"/>
      <w:marLeft w:val="0"/>
      <w:marRight w:val="0"/>
      <w:marTop w:val="0"/>
      <w:marBottom w:val="0"/>
      <w:divBdr>
        <w:top w:val="none" w:sz="0" w:space="0" w:color="auto"/>
        <w:left w:val="none" w:sz="0" w:space="0" w:color="auto"/>
        <w:bottom w:val="none" w:sz="0" w:space="0" w:color="auto"/>
        <w:right w:val="none" w:sz="0" w:space="0" w:color="auto"/>
      </w:divBdr>
    </w:div>
    <w:div w:id="2039504166">
      <w:bodyDiv w:val="1"/>
      <w:marLeft w:val="0"/>
      <w:marRight w:val="0"/>
      <w:marTop w:val="0"/>
      <w:marBottom w:val="0"/>
      <w:divBdr>
        <w:top w:val="none" w:sz="0" w:space="0" w:color="auto"/>
        <w:left w:val="none" w:sz="0" w:space="0" w:color="auto"/>
        <w:bottom w:val="none" w:sz="0" w:space="0" w:color="auto"/>
        <w:right w:val="none" w:sz="0" w:space="0" w:color="auto"/>
      </w:divBdr>
    </w:div>
    <w:div w:id="2140537191">
      <w:bodyDiv w:val="1"/>
      <w:marLeft w:val="0"/>
      <w:marRight w:val="0"/>
      <w:marTop w:val="0"/>
      <w:marBottom w:val="0"/>
      <w:divBdr>
        <w:top w:val="none" w:sz="0" w:space="0" w:color="auto"/>
        <w:left w:val="none" w:sz="0" w:space="0" w:color="auto"/>
        <w:bottom w:val="none" w:sz="0" w:space="0" w:color="auto"/>
        <w:right w:val="none" w:sz="0" w:space="0" w:color="auto"/>
      </w:divBdr>
      <w:divsChild>
        <w:div w:id="1781682759">
          <w:marLeft w:val="0"/>
          <w:marRight w:val="0"/>
          <w:marTop w:val="0"/>
          <w:marBottom w:val="0"/>
          <w:divBdr>
            <w:top w:val="none" w:sz="0" w:space="0" w:color="auto"/>
            <w:left w:val="none" w:sz="0" w:space="0" w:color="auto"/>
            <w:bottom w:val="none" w:sz="0" w:space="0" w:color="auto"/>
            <w:right w:val="none" w:sz="0" w:space="0" w:color="auto"/>
          </w:divBdr>
          <w:divsChild>
            <w:div w:id="647899735">
              <w:marLeft w:val="0"/>
              <w:marRight w:val="0"/>
              <w:marTop w:val="0"/>
              <w:marBottom w:val="0"/>
              <w:divBdr>
                <w:top w:val="none" w:sz="0" w:space="0" w:color="auto"/>
                <w:left w:val="none" w:sz="0" w:space="0" w:color="auto"/>
                <w:bottom w:val="none" w:sz="0" w:space="0" w:color="auto"/>
                <w:right w:val="none" w:sz="0" w:space="0" w:color="auto"/>
              </w:divBdr>
              <w:divsChild>
                <w:div w:id="1573543069">
                  <w:marLeft w:val="0"/>
                  <w:marRight w:val="0"/>
                  <w:marTop w:val="0"/>
                  <w:marBottom w:val="0"/>
                  <w:divBdr>
                    <w:top w:val="none" w:sz="0" w:space="0" w:color="auto"/>
                    <w:left w:val="none" w:sz="0" w:space="0" w:color="auto"/>
                    <w:bottom w:val="none" w:sz="0" w:space="0" w:color="auto"/>
                    <w:right w:val="none" w:sz="0" w:space="0" w:color="auto"/>
                  </w:divBdr>
                  <w:divsChild>
                    <w:div w:id="1091320758">
                      <w:marLeft w:val="0"/>
                      <w:marRight w:val="0"/>
                      <w:marTop w:val="0"/>
                      <w:marBottom w:val="0"/>
                      <w:divBdr>
                        <w:top w:val="none" w:sz="0" w:space="0" w:color="auto"/>
                        <w:left w:val="none" w:sz="0" w:space="0" w:color="auto"/>
                        <w:bottom w:val="none" w:sz="0" w:space="0" w:color="auto"/>
                        <w:right w:val="none" w:sz="0" w:space="0" w:color="auto"/>
                      </w:divBdr>
                      <w:divsChild>
                        <w:div w:id="182591372">
                          <w:marLeft w:val="2777"/>
                          <w:marRight w:val="-11147"/>
                          <w:marTop w:val="0"/>
                          <w:marBottom w:val="0"/>
                          <w:divBdr>
                            <w:top w:val="none" w:sz="0" w:space="0" w:color="auto"/>
                            <w:left w:val="none" w:sz="0" w:space="0" w:color="auto"/>
                            <w:bottom w:val="none" w:sz="0" w:space="0" w:color="auto"/>
                            <w:right w:val="none" w:sz="0" w:space="0" w:color="auto"/>
                          </w:divBdr>
                          <w:divsChild>
                            <w:div w:id="1249266053">
                              <w:marLeft w:val="0"/>
                              <w:marRight w:val="0"/>
                              <w:marTop w:val="0"/>
                              <w:marBottom w:val="0"/>
                              <w:divBdr>
                                <w:top w:val="none" w:sz="0" w:space="0" w:color="auto"/>
                                <w:left w:val="none" w:sz="0" w:space="0" w:color="auto"/>
                                <w:bottom w:val="none" w:sz="0" w:space="0" w:color="auto"/>
                                <w:right w:val="none" w:sz="0" w:space="0" w:color="auto"/>
                              </w:divBdr>
                              <w:divsChild>
                                <w:div w:id="256983268">
                                  <w:marLeft w:val="0"/>
                                  <w:marRight w:val="0"/>
                                  <w:marTop w:val="0"/>
                                  <w:marBottom w:val="0"/>
                                  <w:divBdr>
                                    <w:top w:val="none" w:sz="0" w:space="0" w:color="auto"/>
                                    <w:left w:val="none" w:sz="0" w:space="0" w:color="auto"/>
                                    <w:bottom w:val="none" w:sz="0" w:space="0" w:color="auto"/>
                                    <w:right w:val="none" w:sz="0" w:space="0" w:color="auto"/>
                                  </w:divBdr>
                                </w:div>
                                <w:div w:id="881792794">
                                  <w:marLeft w:val="0"/>
                                  <w:marRight w:val="0"/>
                                  <w:marTop w:val="0"/>
                                  <w:marBottom w:val="0"/>
                                  <w:divBdr>
                                    <w:top w:val="none" w:sz="0" w:space="0" w:color="auto"/>
                                    <w:left w:val="none" w:sz="0" w:space="0" w:color="auto"/>
                                    <w:bottom w:val="none" w:sz="0" w:space="0" w:color="auto"/>
                                    <w:right w:val="none" w:sz="0" w:space="0" w:color="auto"/>
                                  </w:divBdr>
                                  <w:divsChild>
                                    <w:div w:id="1564869003">
                                      <w:marLeft w:val="0"/>
                                      <w:marRight w:val="0"/>
                                      <w:marTop w:val="0"/>
                                      <w:marBottom w:val="0"/>
                                      <w:divBdr>
                                        <w:top w:val="none" w:sz="0" w:space="0" w:color="auto"/>
                                        <w:left w:val="none" w:sz="0" w:space="0" w:color="auto"/>
                                        <w:bottom w:val="none" w:sz="0" w:space="0" w:color="auto"/>
                                        <w:right w:val="none" w:sz="0" w:space="0" w:color="auto"/>
                                      </w:divBdr>
                                      <w:divsChild>
                                        <w:div w:id="1722173794">
                                          <w:marLeft w:val="0"/>
                                          <w:marRight w:val="0"/>
                                          <w:marTop w:val="0"/>
                                          <w:marBottom w:val="0"/>
                                          <w:divBdr>
                                            <w:top w:val="none" w:sz="0" w:space="0" w:color="auto"/>
                                            <w:left w:val="none" w:sz="0" w:space="0" w:color="auto"/>
                                            <w:bottom w:val="none" w:sz="0" w:space="0" w:color="auto"/>
                                            <w:right w:val="none" w:sz="0" w:space="0" w:color="auto"/>
                                          </w:divBdr>
                                          <w:divsChild>
                                            <w:div w:id="1921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Unknown Organization</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Heijnsbroek</dc:creator>
  <cp:lastModifiedBy>Erwin Heijnsbroek | EHS Services</cp:lastModifiedBy>
  <cp:revision>9</cp:revision>
  <cp:lastPrinted>2020-06-10T15:12:00Z</cp:lastPrinted>
  <dcterms:created xsi:type="dcterms:W3CDTF">2020-06-10T15:12:00Z</dcterms:created>
  <dcterms:modified xsi:type="dcterms:W3CDTF">2024-02-19T07:57:00Z</dcterms:modified>
</cp:coreProperties>
</file>